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5A" w:rsidRDefault="00C4425A" w:rsidP="00C4425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</w:t>
      </w:r>
    </w:p>
    <w:p w:rsidR="00C4425A" w:rsidRDefault="00C4425A" w:rsidP="00C4425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«Средняя общеобразовательная школа № 1» города Когалыма</w:t>
      </w:r>
    </w:p>
    <w:p w:rsidR="00C4425A" w:rsidRDefault="00C4425A" w:rsidP="00C4425A">
      <w:pPr>
        <w:spacing w:after="0" w:line="240" w:lineRule="auto"/>
        <w:ind w:left="11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 к Основной образовательной программе среднего</w:t>
      </w:r>
    </w:p>
    <w:p w:rsidR="00C4425A" w:rsidRPr="003D21E6" w:rsidRDefault="00C4425A" w:rsidP="00C4425A">
      <w:pPr>
        <w:spacing w:after="0" w:line="240" w:lineRule="auto"/>
        <w:ind w:left="119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общего образования МАОУ СОШ № 1 на 2023-2024 учебный год</w:t>
      </w:r>
    </w:p>
    <w:p w:rsidR="00C4425A" w:rsidRPr="003D21E6" w:rsidRDefault="00C4425A" w:rsidP="00C4425A">
      <w:pPr>
        <w:spacing w:after="0"/>
        <w:ind w:left="120"/>
      </w:pPr>
    </w:p>
    <w:p w:rsidR="00C4425A" w:rsidRPr="003D21E6" w:rsidRDefault="00C4425A" w:rsidP="00C4425A">
      <w:pPr>
        <w:spacing w:after="0"/>
        <w:ind w:left="120"/>
      </w:pPr>
    </w:p>
    <w:p w:rsidR="00C4425A" w:rsidRPr="003D21E6" w:rsidRDefault="00C4425A" w:rsidP="00C4425A">
      <w:pPr>
        <w:spacing w:after="0"/>
        <w:ind w:left="120"/>
      </w:pPr>
    </w:p>
    <w:p w:rsidR="00C4425A" w:rsidRPr="003D21E6" w:rsidRDefault="00C4425A" w:rsidP="00C4425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425A" w:rsidRPr="00C67133" w:rsidTr="004A6336">
        <w:tc>
          <w:tcPr>
            <w:tcW w:w="3114" w:type="dxa"/>
          </w:tcPr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учителей естественно-гуманитарного цикла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4 от 30 августа 2023 г.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[Рахимкулова Ф. Ф]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2023 г.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425A" w:rsidRPr="00C67133" w:rsidRDefault="00C4425A" w:rsidP="004A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71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4425A" w:rsidRPr="00C67133" w:rsidRDefault="00C4425A" w:rsidP="004A63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4425A" w:rsidRPr="00C67133" w:rsidRDefault="00C4425A" w:rsidP="00C4425A">
      <w:pPr>
        <w:spacing w:after="0"/>
        <w:ind w:left="120"/>
      </w:pPr>
    </w:p>
    <w:p w:rsidR="00C4425A" w:rsidRPr="00C67133" w:rsidRDefault="00C4425A" w:rsidP="00C4425A">
      <w:pPr>
        <w:spacing w:after="0"/>
        <w:ind w:left="120"/>
      </w:pPr>
      <w:r w:rsidRPr="00C67133">
        <w:rPr>
          <w:rFonts w:ascii="Times New Roman" w:hAnsi="Times New Roman"/>
          <w:color w:val="000000"/>
          <w:sz w:val="28"/>
        </w:rPr>
        <w:t>‌</w:t>
      </w:r>
    </w:p>
    <w:p w:rsidR="00C4425A" w:rsidRPr="00C67133" w:rsidRDefault="00C4425A" w:rsidP="00C4425A">
      <w:pPr>
        <w:spacing w:after="0"/>
        <w:ind w:left="120"/>
      </w:pPr>
    </w:p>
    <w:p w:rsidR="00C4425A" w:rsidRPr="00C67133" w:rsidRDefault="00C4425A" w:rsidP="00C4425A">
      <w:pPr>
        <w:spacing w:after="0"/>
        <w:ind w:left="120"/>
      </w:pPr>
    </w:p>
    <w:p w:rsidR="00C4425A" w:rsidRPr="00C67133" w:rsidRDefault="00C4425A" w:rsidP="00C4425A">
      <w:pPr>
        <w:spacing w:after="0"/>
        <w:ind w:left="120"/>
      </w:pPr>
    </w:p>
    <w:p w:rsidR="00C4425A" w:rsidRPr="00C67133" w:rsidRDefault="00C4425A" w:rsidP="00C4425A">
      <w:pPr>
        <w:spacing w:after="0" w:line="408" w:lineRule="auto"/>
        <w:ind w:left="120"/>
        <w:jc w:val="center"/>
      </w:pPr>
      <w:r w:rsidRPr="00C6713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 w:line="408" w:lineRule="auto"/>
        <w:ind w:left="120"/>
        <w:jc w:val="center"/>
      </w:pPr>
      <w:r w:rsidRPr="00C67133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ХИМИЯ</w:t>
      </w:r>
      <w:r w:rsidRPr="00C67133">
        <w:rPr>
          <w:rFonts w:ascii="Times New Roman" w:hAnsi="Times New Roman"/>
          <w:b/>
          <w:color w:val="000000"/>
          <w:sz w:val="28"/>
        </w:rPr>
        <w:t>» (</w:t>
      </w:r>
      <w:r>
        <w:rPr>
          <w:rFonts w:ascii="Times New Roman" w:hAnsi="Times New Roman"/>
          <w:b/>
          <w:color w:val="000000"/>
          <w:sz w:val="28"/>
        </w:rPr>
        <w:t>базовый</w:t>
      </w:r>
      <w:r w:rsidRPr="00C67133">
        <w:rPr>
          <w:rFonts w:ascii="Times New Roman" w:hAnsi="Times New Roman"/>
          <w:b/>
          <w:color w:val="000000"/>
          <w:sz w:val="28"/>
        </w:rPr>
        <w:t xml:space="preserve"> уровень)</w:t>
      </w:r>
    </w:p>
    <w:p w:rsidR="00C4425A" w:rsidRPr="00C67133" w:rsidRDefault="00C4425A" w:rsidP="00C4425A">
      <w:pPr>
        <w:spacing w:after="0" w:line="408" w:lineRule="auto"/>
        <w:ind w:left="120"/>
        <w:jc w:val="center"/>
      </w:pPr>
      <w:r w:rsidRPr="00C67133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C67133">
        <w:rPr>
          <w:color w:val="000000"/>
          <w:sz w:val="28"/>
        </w:rPr>
        <w:t xml:space="preserve">– </w:t>
      </w:r>
      <w:r w:rsidRPr="00C67133">
        <w:rPr>
          <w:rFonts w:ascii="Times New Roman" w:hAnsi="Times New Roman"/>
          <w:color w:val="000000"/>
          <w:sz w:val="28"/>
        </w:rPr>
        <w:t xml:space="preserve">11 классов </w:t>
      </w: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Default="00C4425A" w:rsidP="00C4425A">
      <w:pPr>
        <w:spacing w:after="0"/>
        <w:ind w:left="120"/>
        <w:jc w:val="center"/>
      </w:pPr>
    </w:p>
    <w:p w:rsidR="00C4425A" w:rsidRDefault="00C4425A" w:rsidP="00C4425A">
      <w:pPr>
        <w:spacing w:after="0"/>
        <w:ind w:left="120"/>
        <w:jc w:val="center"/>
      </w:pPr>
    </w:p>
    <w:p w:rsidR="00C4425A" w:rsidRDefault="00C4425A" w:rsidP="00C4425A">
      <w:pPr>
        <w:spacing w:after="0"/>
        <w:ind w:left="120"/>
        <w:jc w:val="center"/>
      </w:pPr>
    </w:p>
    <w:p w:rsidR="00C4425A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ind w:left="120"/>
        <w:jc w:val="center"/>
      </w:pPr>
    </w:p>
    <w:p w:rsidR="00C4425A" w:rsidRPr="00C67133" w:rsidRDefault="00C4425A" w:rsidP="00C4425A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г. Когалым 2023</w:t>
      </w:r>
      <w:r w:rsidRPr="00C67133">
        <w:rPr>
          <w:rFonts w:ascii="Times New Roman" w:hAnsi="Times New Roman"/>
          <w:b/>
          <w:color w:val="000000"/>
          <w:sz w:val="28"/>
        </w:rPr>
        <w:t xml:space="preserve"> ‌</w:t>
      </w:r>
      <w:r w:rsidRPr="00C67133">
        <w:rPr>
          <w:rFonts w:ascii="Times New Roman" w:hAnsi="Times New Roman"/>
          <w:color w:val="000000"/>
          <w:sz w:val="28"/>
        </w:rPr>
        <w:t>​</w:t>
      </w:r>
    </w:p>
    <w:p w:rsidR="002519CC" w:rsidRDefault="002519CC" w:rsidP="002519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bookmarkEnd w:id="0"/>
    <w:p w:rsidR="002519CC" w:rsidRPr="002519CC" w:rsidRDefault="002519CC" w:rsidP="002519CC">
      <w:pPr>
        <w:pStyle w:val="a3"/>
        <w:spacing w:before="0" w:beforeAutospacing="0" w:after="0" w:afterAutospacing="0"/>
        <w:contextualSpacing/>
        <w:jc w:val="both"/>
        <w:rPr>
          <w:color w:val="333333"/>
        </w:rPr>
      </w:pPr>
      <w:r w:rsidRPr="002519CC">
        <w:rPr>
          <w:rStyle w:val="a4"/>
          <w:color w:val="333333"/>
        </w:rPr>
        <w:lastRenderedPageBreak/>
        <w:t>ПОЯСНИТЕЛЬНАЯ ЗАПИСКА</w:t>
      </w:r>
    </w:p>
    <w:p w:rsidR="002519CC" w:rsidRPr="002519CC" w:rsidRDefault="002519CC" w:rsidP="002519CC">
      <w:pPr>
        <w:pStyle w:val="a3"/>
        <w:spacing w:before="0" w:beforeAutospacing="0" w:after="0" w:afterAutospacing="0"/>
        <w:contextualSpacing/>
        <w:jc w:val="both"/>
        <w:rPr>
          <w:color w:val="333333"/>
        </w:rPr>
      </w:pPr>
      <w:r w:rsidRPr="002519CC">
        <w:rPr>
          <w:color w:val="333333"/>
        </w:rPr>
        <w:t>​</w:t>
      </w:r>
    </w:p>
    <w:p w:rsid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2519CC">
        <w:rPr>
          <w:rFonts w:ascii="Times New Roman" w:eastAsia="Times New Roman" w:hAnsi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Минпросвещения от 12.08.2022 № 732);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приказа Минпросвещения от 18.05.2023 № 371 «Об утверждении федеральной образовательной программы среднего общего образования»;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Концепции преподавания учебного предмета «Химия»;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Концепции экологического образования в системе общего образования;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519CC" w:rsidRPr="002519CC" w:rsidRDefault="002519CC" w:rsidP="002519CC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Приказ муниципального автономного общеобразовательного учреждения «Средняя общеобразовательная школа №3» «Об утверждении рабочих программ» от 30.08.2023 № 420.</w:t>
      </w:r>
    </w:p>
    <w:p w:rsidR="002519CC" w:rsidRPr="002519CC" w:rsidRDefault="002519CC" w:rsidP="002519C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9CC">
        <w:rPr>
          <w:rFonts w:ascii="Times New Roman" w:eastAsia="Times New Roman" w:hAnsi="Times New Roman"/>
          <w:color w:val="000000"/>
          <w:sz w:val="24"/>
          <w:szCs w:val="24"/>
        </w:rPr>
        <w:t>федеральной рабочей программы по учебному предмету «Химия» базового уровня.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519CC">
        <w:rPr>
          <w:color w:val="333333"/>
        </w:rPr>
        <w:t>межпредметных</w:t>
      </w:r>
      <w:proofErr w:type="spellEnd"/>
      <w:r w:rsidRPr="002519CC">
        <w:rPr>
          <w:color w:val="333333"/>
        </w:rPr>
        <w:t xml:space="preserve"> и </w:t>
      </w:r>
      <w:proofErr w:type="spellStart"/>
      <w:r w:rsidRPr="002519CC">
        <w:rPr>
          <w:color w:val="333333"/>
        </w:rPr>
        <w:t>внутрипредметных</w:t>
      </w:r>
      <w:proofErr w:type="spellEnd"/>
      <w:r w:rsidRPr="002519CC">
        <w:rPr>
          <w:color w:val="333333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Изучение химии: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 w:rsidRPr="002519CC">
        <w:rPr>
          <w:color w:val="333333"/>
        </w:rPr>
        <w:br/>
        <w:t>в формировании естественно</w:t>
      </w:r>
      <w:r w:rsidRPr="002519CC">
        <w:rPr>
          <w:color w:val="333333"/>
        </w:rPr>
        <w:softHyphen/>
        <w:t>-научной грамотности обучающихся;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lastRenderedPageBreak/>
        <w:t>способствует формированию ценностного отношения к естественно-</w:t>
      </w:r>
      <w:r w:rsidRPr="002519CC">
        <w:rPr>
          <w:color w:val="333333"/>
        </w:rPr>
        <w:softHyphen/>
        <w:t>научным знаниям, к природе, к человеку, вносит свой вклад в экологическое образование обучающихся.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Курс химии 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 атомно</w:t>
      </w:r>
      <w:r w:rsidRPr="002519CC">
        <w:rPr>
          <w:color w:val="333333"/>
        </w:rPr>
        <w:softHyphen/>
        <w:t>-молекулярного учения как основы всего естествознания;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 Периодического закона Д. И. Менделеева как основного закона химии;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 учения о строении атома и химической связи;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 представлений об электролитической диссоциации веществ в растворах.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При изучении химии на уровне основного общего образования важное значение приобрели такие цели, как: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формирование общей функциональной и естественно-научной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– 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  <w:shd w:val="clear" w:color="auto" w:fill="FFFFFF"/>
        </w:rPr>
        <w:lastRenderedPageBreak/>
        <w:t>– </w:t>
      </w:r>
      <w:r w:rsidRPr="002519CC">
        <w:rPr>
          <w:color w:val="333333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519CC" w:rsidRPr="002519CC" w:rsidRDefault="002519CC" w:rsidP="002519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  <w:r w:rsidRPr="002519CC">
        <w:rPr>
          <w:color w:val="333333"/>
        </w:rPr>
        <w:t>​</w:t>
      </w:r>
      <w:r w:rsidRPr="002519CC">
        <w:rPr>
          <w:rStyle w:val="placeholder-mask"/>
          <w:color w:val="333333"/>
        </w:rPr>
        <w:t>‌</w:t>
      </w:r>
      <w:r w:rsidRPr="002519CC">
        <w:rPr>
          <w:rStyle w:val="placeholder"/>
          <w:color w:val="333333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2519CC">
        <w:rPr>
          <w:rStyle w:val="placeholder"/>
          <w:color w:val="333333"/>
        </w:rPr>
        <w:t>).</w:t>
      </w:r>
      <w:r w:rsidRPr="002519CC">
        <w:rPr>
          <w:rStyle w:val="placeholder-mask"/>
          <w:color w:val="333333"/>
        </w:rPr>
        <w:t>‌</w:t>
      </w:r>
      <w:proofErr w:type="gramEnd"/>
      <w:r w:rsidRPr="002519CC">
        <w:rPr>
          <w:color w:val="333333"/>
        </w:rPr>
        <w:t>‌</w:t>
      </w:r>
    </w:p>
    <w:p w:rsidR="002519CC" w:rsidRPr="002519CC" w:rsidRDefault="002519CC" w:rsidP="002519CC">
      <w:pPr>
        <w:pStyle w:val="a3"/>
        <w:shd w:val="clear" w:color="auto" w:fill="FFFFFF"/>
        <w:spacing w:before="0" w:after="0"/>
        <w:jc w:val="both"/>
        <w:rPr>
          <w:color w:val="333333"/>
        </w:rPr>
      </w:pPr>
      <w:r w:rsidRPr="002519CC">
        <w:rPr>
          <w:color w:val="333333"/>
        </w:rPr>
        <w:t>​</w:t>
      </w:r>
      <w:r w:rsidRPr="002519CC">
        <w:rPr>
          <w:b/>
          <w:bCs/>
          <w:color w:val="333333"/>
        </w:rPr>
        <w:t xml:space="preserve"> СОДЕРЖАНИЕ ОБУЧЕНИЯ</w:t>
      </w:r>
    </w:p>
    <w:p w:rsidR="002519CC" w:rsidRPr="002519CC" w:rsidRDefault="002519CC" w:rsidP="00C442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​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Первоначальные химические понятия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шаростержневых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Важнейшие представители неорганических веществ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Молярный объём газов. Расчёты по химическим уравнениям.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Кислоты. Классификация кислот. Номенклатура кислот. Физические и химические свойства кислот. Ряд активности металлов Н. Н. Бекетова. Получение кислот.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Соли. Номенклатура солей. Физические и химические свойства солей. Получение солей.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-восстановительные реакции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Периодический закон. Периодическая система химических элементов Д. И. Менделеева. Короткопериодная и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длиннопериодная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 Менделеева. Характеристика химического элемента по его положению в Периодической системе Д. И. Менделеева.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Значение Периодического закона и Периодической системы химических элементов для развития науки и практики. Д. И. Менделеев – учёный и гражданин.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Химическая связь. Ковалентная (полярная и неполярная) связь.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химических элементов. Ионная связь.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Степень окисления.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-восстановительные реакции. Процессы окисления и восстановления. Окислители и восстановители.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-восстановительных реакций (горение, реакции разложения, соединения).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Межпредметные</w:t>
      </w:r>
      <w:proofErr w:type="spellEnd"/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связи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Реализация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связей при изучении химии в 8 классе осуществляется через использование как общих естественно-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научных понятий, так и понятий, являющихся системными для отдельных предметов естественно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-научного цикла.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Общие естественно-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Биология: фотосинтез, дыхание, биосфера.</w:t>
      </w:r>
    </w:p>
    <w:p w:rsidR="002519CC" w:rsidRPr="002519CC" w:rsidRDefault="002519CC" w:rsidP="002519C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Вещество и химическая реакция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Периодический закон. Периодическая система химических элементов Д. И. Менделеева. Строение атомов. Закономерности в изменении свойств химических элементов первых трёх 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-восстановительные реакции, электронный баланс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-восстановительной реакции. Составление уравнений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-восстановительных реакций с использованием метода электронного баланса.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Теория электролитической диссоциации. Электролиты и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неэлектролиты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Неметаллы и их соединения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Хлороводород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хлороводорода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организм человека. Важнейшие хлориды и их нахождение в природе.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Общая характеристика элементов 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Общая характеристика элементов 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Общая характеристика элементов 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 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Металлы и их соединения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 Менделеева и строения атомов. Строение металлов. Металлическая связь и металлическая кристаллическая решётка. Электрохимический ряд 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Щелочные металлы: положение в Периодической системе химических элементов Д. И. 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Щелочноземельные металлы магний и кальций: положение в Периодической системе химических элементов Д. И. 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Алюминий: положение в Периодической системе химических элементов Д. И. 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Железо: положение в Периодической системе химических элементов Д. И. 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Химия и окружающая среда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Химический эксперимент: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образцов материалов (стекло, сплавы металлов, полимерные материалы).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Межпредметные</w:t>
      </w:r>
      <w:proofErr w:type="spellEnd"/>
      <w:r w:rsidRPr="002519CC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связи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Реализация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-научного цикла.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География: атмосфера, гидросфера, минералы, горные породы, полезные ископаемые, топливо, водные ресурсы. </w:t>
      </w:r>
    </w:p>
    <w:p w:rsidR="002519CC" w:rsidRPr="002519CC" w:rsidRDefault="002519CC" w:rsidP="002519CC">
      <w:pPr>
        <w:pStyle w:val="a3"/>
        <w:spacing w:before="0" w:beforeAutospacing="0" w:after="0" w:afterAutospacing="0"/>
        <w:contextualSpacing/>
        <w:jc w:val="both"/>
        <w:rPr>
          <w:color w:val="333333"/>
        </w:rPr>
      </w:pPr>
      <w:r w:rsidRPr="002519CC">
        <w:rPr>
          <w:color w:val="333333"/>
        </w:rPr>
        <w:t>‌</w:t>
      </w:r>
    </w:p>
    <w:p w:rsidR="002519CC" w:rsidRPr="002519CC" w:rsidRDefault="002519CC" w:rsidP="002519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2519CC" w:rsidRPr="002519CC" w:rsidRDefault="002519CC" w:rsidP="002519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1)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2)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учебно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исследовательской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3)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1" w:name="_Toc138318759"/>
      <w:bookmarkEnd w:id="1"/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4)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формирования культуры здоровья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5)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6)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составе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умение применять в процессе познания понятия (предметные и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иллюстрировать решаемые задачи несложными схемами, диаграммами, другими формами графики и их комбинациями;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2" w:name="_Toc138318760"/>
      <w:bookmarkStart w:id="3" w:name="_Toc134720971"/>
      <w:bookmarkEnd w:id="2"/>
      <w:bookmarkEnd w:id="3"/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концу обучения в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8 классе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обучающихся умений: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орбиталь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раскрывать смысл Периодического закона Д. И. Менделеева: демонстрировать понимание периодической зависимости свойств химических элементов от их положения в Периодической 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системе, законов сохранения массы веществ, постоянства состава, атомно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-молекулярного учения, закона Авогадро;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 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2519CC" w:rsidRPr="002519CC" w:rsidRDefault="002519CC" w:rsidP="002519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2519CC" w:rsidRPr="002519CC" w:rsidRDefault="002519CC" w:rsidP="002519C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концу обучения в</w:t>
      </w:r>
      <w:r w:rsidRPr="002519C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9 классе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 обучающихся умений: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неэлектролиты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раскрывать смысл Периодического закона Д. И. 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</w:t>
      </w: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раскрывать сущность </w:t>
      </w:r>
      <w:proofErr w:type="spell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-восстановительных реакций посредством составления электронного баланса этих реакций;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519CC" w:rsidRP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путём хлорид</w:t>
      </w:r>
      <w:proofErr w:type="gramEnd"/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519CC" w:rsidRDefault="002519CC" w:rsidP="002519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ectPr w:rsidR="002519CC" w:rsidSect="002519CC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 w:rsidRPr="002519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перимент (реальный и мысленный)</w:t>
      </w:r>
    </w:p>
    <w:p w:rsidR="002519CC" w:rsidRPr="002519CC" w:rsidRDefault="002519CC" w:rsidP="002519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513C0" w:rsidRP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9513C0" w:rsidRP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351"/>
        <w:gridCol w:w="672"/>
        <w:gridCol w:w="1629"/>
        <w:gridCol w:w="1685"/>
        <w:gridCol w:w="7320"/>
      </w:tblGrid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Теоретические основы органической химии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E921A3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" w:history="1">
              <w:r w:rsidRPr="0004735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https://www.yaklass.ru/p/himija/10-klass/osnovy-organicheskoi-khimii-6490554/predmet-organicheskoi-khimii-teoriia-khimicheskogo-stroeniia-organiches_-6447217/re-3480cb47-b0f0-4e0f-bd8d-6a2b437d466b?ysclid=lmfso4nqlg327210094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Углеводороды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Предельные углеводороды —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E921A3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Pr="0004735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https://foxford.ru/wiki/himiya/alkany-gomologicheskij-ryad-stroenie-nomenklatura-izomeriya?ysclid=lmfsp03n95518675926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Непредельные углеводороды: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алкены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2D1133" w:rsidRDefault="002D1133" w:rsidP="002D11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7" w:history="1">
              <w:r w:rsidRPr="0004735D">
                <w:rPr>
                  <w:rStyle w:val="a6"/>
                  <w:rFonts w:ascii="inherit" w:eastAsia="Times New Roman" w:hAnsi="inherit"/>
                  <w:sz w:val="20"/>
                  <w:szCs w:val="24"/>
                  <w:lang w:eastAsia="ru-RU"/>
                </w:rPr>
                <w:t>https://foxford.ru/wiki/himiya/klassifikatsiya-uglevodorodov?ysclid=lmfsq40u2s407708569</w:t>
              </w:r>
            </w:hyperlink>
            <w:r w:rsidRPr="002D1133">
              <w:rPr>
                <w:rFonts w:asciiTheme="minorHAnsi" w:eastAsia="Times New Roman" w:hAnsiTheme="minorHAnsi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Ароматические углеводороды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2D1133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Pr="0004735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https://foxford.ru/wiki/himiya/gomologicheskiy-ryad-arenov?ysclid=lmfsr7oemr209227711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Природные источники углеводородов и их переработка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2D1133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Pr="0004735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https://foxford.ru/wiki/himiya/prirodnye-istochniki-uglevodorodov?ysclid=lmfsrt64sg93513256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Спирты. Фенол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2D1133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Pr="0004735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https://foxford.ru/wiki/himiya/aromaticheskie-spirty-fenoly?ysclid=lmfst3uda2717551018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Альдегиды. Карбоновые кислоты. Сложные эфиры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2D1133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hyperlink r:id="rId11" w:history="1">
              <w:r w:rsidRPr="0004735D">
                <w:rPr>
                  <w:rStyle w:val="a6"/>
                  <w:rFonts w:ascii="inherit" w:eastAsia="Times New Roman" w:hAnsi="inherit"/>
                  <w:sz w:val="24"/>
                  <w:szCs w:val="24"/>
                  <w:lang w:eastAsia="ru-RU"/>
                </w:rPr>
                <w:t>https://foxford.ru/wiki/himiya/slozhnye-efiry?ysclid=lmfsttseog962715100</w:t>
              </w:r>
            </w:hyperlink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2D1133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Pr="0004735D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https://foxford.ru/wiki/biologiya/uglevody-ih-stroenie-i-funktsii?ysclid=lmfsuqv58g435312459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Азотсодержащие органические соединения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Амины. Аминокислоты. Белки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Высокомолекулярные соединения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Пластмассы. Каучуки. Волокна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</w:tbl>
    <w:p w:rsidR="009513C0" w:rsidRP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476"/>
        <w:gridCol w:w="672"/>
        <w:gridCol w:w="1861"/>
        <w:gridCol w:w="1917"/>
        <w:gridCol w:w="3647"/>
      </w:tblGrid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Теоретические основы химии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Строение вещества. Многообразие веществ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Неорганическая химия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Связь неорганических и органических веществ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6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9513C0">
              <w:rPr>
                <w:rFonts w:ascii="inherit" w:eastAsia="Times New Roman" w:hAnsi="inherit"/>
                <w:b/>
                <w:bCs/>
                <w:sz w:val="24"/>
                <w:szCs w:val="24"/>
                <w:lang w:eastAsia="ru-RU"/>
              </w:rPr>
              <w:t>Химия и жизнь</w:t>
            </w: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</w:tbl>
    <w:p w:rsid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:rsid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:rsid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:rsidR="009513C0" w:rsidRP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9513C0" w:rsidRP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6308"/>
        <w:gridCol w:w="672"/>
        <w:gridCol w:w="1719"/>
        <w:gridCol w:w="1775"/>
        <w:gridCol w:w="1195"/>
        <w:gridCol w:w="2955"/>
      </w:tblGrid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Алканы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: состав и строение, гомологический ряд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Метан и этан — простейшие представители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Алкены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: состав и строение, свойства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Этилен и пропилен — простейшие представители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Алкины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: состав и особенности строения, гомологический ряд. Ацетилен — простейший представитель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Вычисления по уравнению химической реакции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Арены: бензол и толуол. Токсичность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аренов</w:t>
            </w:r>
            <w:proofErr w:type="spellEnd"/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Контрольная работа по разделу «Углеводороды»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Предельные одноатомные спирты: метанол и этанол. Водородная связь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Многоатомные спирты: этиленгликоль и глицерин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Альдегиды: формальдегид и ацетальдегид. Ацетон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Мыла как соли высших карбоновых кислот, их моющее действие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Жиры: гидролиз, применение, биологическая роль жиров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Крахмал и целлюлоза как природные полимеры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Амины: метиламин и анилин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Аминокислоты как амфотерные органические соединения, их биологическое значение. Пептиды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Белки как природные высокомолекулярные соединения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Основные понятия химии высокомолекулярных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Основные методы синтеза высокомолекулярных соединений. Пластмассы, каучуки, волокна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</w:tbl>
    <w:p w:rsid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:rsid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:rsidR="009513C0" w:rsidRPr="009513C0" w:rsidRDefault="009513C0" w:rsidP="009513C0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1"/>
          <w:szCs w:val="21"/>
          <w:lang w:eastAsia="ru-RU"/>
        </w:rPr>
        <w:t>11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883"/>
        <w:gridCol w:w="672"/>
        <w:gridCol w:w="1640"/>
        <w:gridCol w:w="1697"/>
        <w:gridCol w:w="1142"/>
        <w:gridCol w:w="2618"/>
      </w:tblGrid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513C0" w:rsidRPr="009513C0" w:rsidTr="009513C0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Химический элемент. Атом. Электронная конфигурация атомов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Строение вещества. Химическая связь, её виды; механизмы образования ковалентной связи. Водородная связь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Валентность.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Скорость реакции. Обратимые реакции. Химическое равновесие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Электролитическая диссоциация. Понятие о водородном показателе (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pH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) раствора. Реакции ионного обмена. Гидролиз органических и неорганических веществ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Химические свойства хрома, меди и их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Химические свойства цинка, железа и их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Химические свойства галогенов, серы и их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Химические свойства азота, </w:t>
            </w:r>
            <w:proofErr w:type="spellStart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фософра</w:t>
            </w:r>
            <w:proofErr w:type="spellEnd"/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и их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Химические свойства углерода, кремния и их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Применение важнейших неметаллов и их соединений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Контрольная работа по темам «Металлы» и «Неметаллы»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Человек в мире веществ и материалов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Химия и здоровье человека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13C0" w:rsidRPr="009513C0" w:rsidTr="009513C0">
        <w:trPr>
          <w:tblCellSpacing w:w="15" w:type="dxa"/>
        </w:trPr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before="100" w:beforeAutospacing="1" w:after="100" w:afterAutospacing="1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513C0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9513C0" w:rsidRPr="009513C0" w:rsidRDefault="009513C0" w:rsidP="009513C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</w:tr>
    </w:tbl>
    <w:p w:rsidR="009513C0" w:rsidRDefault="009513C0" w:rsidP="009513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513C0" w:rsidRDefault="009513C0" w:rsidP="009513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513C0" w:rsidRDefault="009513C0" w:rsidP="009513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513C0" w:rsidRDefault="009513C0" w:rsidP="009513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513C0" w:rsidRDefault="009513C0" w:rsidP="009513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513C0" w:rsidRDefault="009513C0" w:rsidP="009513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​‌• Химия, 11 класс/ Рудзитис Г.Е., Фельдман Ф.Г., Акционерное общество «Издательство «Просвещение»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• Химия / Габриелян О.С., Остроумов И.Г., Сладков С.А., Акционерное общество «Издательство «Просвещение»</w:t>
      </w:r>
      <w:r w:rsidRPr="009513C0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‌​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​‌‌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​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​‌Введите 1.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Г.Г.Лысова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«Химия Методическое пособие – базовый уровень» - М.: Дрофа 2022 год.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И.Г.Остроумов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«Общая химия в тестах, задачах, упражнениях. 11 класс» – М.: Дрофа, 2023 год.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3.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П.Н.Березкин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А.А.Ушакова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«Химия 11 класс: Контрольные и проверочные работы к учебнику». – М.: Дрофа, 2021 г.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4.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Г.Г.Лысова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А.Г.Введенская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«Химия 11 класс: Настольная книга для учителя». Часть 1 – М.: Дрофа, 2019 год.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5.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Г.Г.Лысова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А.Г.Введенская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«Химия 11 класс: Настольная книга для учителя». Часть 2 – М.: Дрофа, 2022 год.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6.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П.В.Решетов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И.Г.Остроумова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«Задачи по химии и способы их решения» - М.: «Дрофа», 2021год.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7. В.Г. Денисова «Химия 11 класс поурочные планы по учебнику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О.С.Габриеляна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Г.Г.Лысовой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- Волгоград» Учитель 2018год.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8.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М.А.Рябова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У.Ю.Невская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Р.В.Линко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«Тесты по химии 11 класс», - М.: Экзамен, 2019г.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9. 9.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О.С.Габриелян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И.Г.остроумов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«Химический эксперимент в школе 11 класс»; - М.: Дрофа. – 2019 год. _‌</w:t>
      </w:r>
      <w:r w:rsidRPr="009513C0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​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9513C0" w:rsidRPr="009513C0" w:rsidRDefault="009513C0" w:rsidP="009513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​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Введите _‌ Введитеданныеhttp://www.chemnet.ru Газета «Химия» и сайт для учителя «Я иду на урок химии»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http://him.1september.ru Единая коллекция ЦОР: Предметная коллекция «Химия»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http://school-collection.edu.ru/collection/chemistry Естественно-научные эксперименты: химия. Коллекция Российского общеобразовательного портала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http://experiment.edu.ru АЛХИМИК: сайт Л.Ю. </w:t>
      </w:r>
      <w:proofErr w:type="spellStart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Аликберовой</w:t>
      </w:r>
      <w:proofErr w:type="spellEnd"/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http://www alhimik.ru Всероссийская олимпиада школьников по химии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http://chem.rusolymp.ru Органическая химия: электронный учебник для средней школы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http://www.chemistry.ssu.samara.ru Основы химии: электронный учебник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http://www hemi.nsu.ru Открытый колледж: Химия</w:t>
      </w:r>
      <w:r w:rsidRPr="009513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http://www.chemistry.ru Дистанционная олимпиада по химии: телекоммуникационный образовательный проект</w:t>
      </w:r>
    </w:p>
    <w:p w:rsidR="002519CC" w:rsidRPr="002519CC" w:rsidRDefault="002519CC" w:rsidP="009513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86610" w:rsidRPr="002519CC" w:rsidRDefault="00D86610" w:rsidP="00951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86610" w:rsidRPr="002519CC" w:rsidSect="002519CC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0D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F7E07"/>
    <w:multiLevelType w:val="multilevel"/>
    <w:tmpl w:val="440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1D2087"/>
    <w:multiLevelType w:val="multilevel"/>
    <w:tmpl w:val="151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D0"/>
    <w:rsid w:val="002519CC"/>
    <w:rsid w:val="002D1133"/>
    <w:rsid w:val="009513C0"/>
    <w:rsid w:val="00C4425A"/>
    <w:rsid w:val="00D86610"/>
    <w:rsid w:val="00E3235E"/>
    <w:rsid w:val="00E921A3"/>
    <w:rsid w:val="00E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68154-906E-4FEA-9A0A-EA453D1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9CC"/>
    <w:rPr>
      <w:b/>
      <w:bCs/>
    </w:rPr>
  </w:style>
  <w:style w:type="character" w:customStyle="1" w:styleId="placeholder-mask">
    <w:name w:val="placeholder-mask"/>
    <w:basedOn w:val="a0"/>
    <w:rsid w:val="002519CC"/>
  </w:style>
  <w:style w:type="character" w:customStyle="1" w:styleId="placeholder">
    <w:name w:val="placeholder"/>
    <w:basedOn w:val="a0"/>
    <w:rsid w:val="002519CC"/>
  </w:style>
  <w:style w:type="paragraph" w:styleId="a5">
    <w:name w:val="List Paragraph"/>
    <w:basedOn w:val="a"/>
    <w:uiPriority w:val="34"/>
    <w:qFormat/>
    <w:rsid w:val="002519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2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1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4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5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2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8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6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0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8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2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3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9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5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3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5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7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himiya/gomologicheskiy-ryad-arenov?ysclid=lmfsr7oemr2092277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xford.ru/wiki/himiya/klassifikatsiya-uglevodorodov?ysclid=lmfsq40u2s407708569" TargetMode="External"/><Relationship Id="rId12" Type="http://schemas.openxmlformats.org/officeDocument/2006/relationships/hyperlink" Target="https://foxford.ru/wiki/biologiya/uglevody-ih-stroenie-i-funktsii?ysclid=lmfsuqv58g435312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wiki/himiya/alkany-gomologicheskij-ryad-stroenie-nomenklatura-izomeriya?ysclid=lmfsp03n95518675926" TargetMode="External"/><Relationship Id="rId11" Type="http://schemas.openxmlformats.org/officeDocument/2006/relationships/hyperlink" Target="https://foxford.ru/wiki/himiya/slozhnye-efiry?ysclid=lmfsttseog962715100" TargetMode="External"/><Relationship Id="rId5" Type="http://schemas.openxmlformats.org/officeDocument/2006/relationships/hyperlink" Target="https://www.yaklass.ru/p/himija/10-klass/osnovy-organicheskoi-khimii-6490554/predmet-organicheskoi-khimii-teoriia-khimicheskogo-stroeniia-organiches_-6447217/re-3480cb47-b0f0-4e0f-bd8d-6a2b437d466b?ysclid=lmfso4nqlg327210094" TargetMode="External"/><Relationship Id="rId10" Type="http://schemas.openxmlformats.org/officeDocument/2006/relationships/hyperlink" Target="https://foxford.ru/wiki/himiya/aromaticheskie-spirty-fenoly?ysclid=lmfst3uda2717551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wiki/himiya/prirodnye-istochniki-uglevodorodov?ysclid=lmfsrt64sg93513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8457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305</cp:lastModifiedBy>
  <cp:revision>6</cp:revision>
  <dcterms:created xsi:type="dcterms:W3CDTF">2023-09-11T13:33:00Z</dcterms:created>
  <dcterms:modified xsi:type="dcterms:W3CDTF">2023-09-12T04:17:00Z</dcterms:modified>
</cp:coreProperties>
</file>