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CC" w:rsidRPr="00B550CC" w:rsidRDefault="00B550CC" w:rsidP="00B550CC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</w:t>
      </w:r>
      <w:r w:rsidR="0080510E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sz w:val="26"/>
          <w:szCs w:val="26"/>
          <w:lang w:val="ru-RU"/>
        </w:rPr>
        <w:t>Утверждено</w:t>
      </w:r>
    </w:p>
    <w:p w:rsidR="00B550CC" w:rsidRPr="00B550CC" w:rsidRDefault="00B550CC" w:rsidP="00B550CC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</w:t>
      </w:r>
      <w:proofErr w:type="gramStart"/>
      <w:r w:rsidRPr="00B550CC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proofErr w:type="gramEnd"/>
      <w:r w:rsidRPr="00B550CC">
        <w:rPr>
          <w:rFonts w:ascii="Times New Roman" w:hAnsi="Times New Roman" w:cs="Times New Roman"/>
          <w:sz w:val="26"/>
          <w:szCs w:val="26"/>
          <w:lang w:val="ru-RU"/>
        </w:rPr>
        <w:t xml:space="preserve"> директора МА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ОУ </w:t>
      </w:r>
      <w:r w:rsidRPr="00B550CC">
        <w:rPr>
          <w:rFonts w:ascii="Times New Roman" w:hAnsi="Times New Roman" w:cs="Times New Roman"/>
          <w:sz w:val="26"/>
          <w:szCs w:val="26"/>
          <w:lang w:val="ru-RU"/>
        </w:rPr>
        <w:t>СОШ №1</w:t>
      </w:r>
    </w:p>
    <w:p w:rsidR="00B550CC" w:rsidRPr="006C4BDE" w:rsidRDefault="00B550CC" w:rsidP="00B550CC">
      <w:pPr>
        <w:pStyle w:val="a3"/>
        <w:spacing w:after="0"/>
        <w:jc w:val="center"/>
        <w:rPr>
          <w:b/>
          <w:sz w:val="26"/>
          <w:szCs w:val="26"/>
        </w:rPr>
      </w:pPr>
      <w:r w:rsidRPr="006C4BD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№ </w:t>
      </w:r>
      <w:proofErr w:type="gramStart"/>
      <w:r w:rsidR="00457DDA" w:rsidRPr="00457DDA">
        <w:rPr>
          <w:sz w:val="26"/>
          <w:szCs w:val="26"/>
        </w:rPr>
        <w:t>381  от</w:t>
      </w:r>
      <w:proofErr w:type="gramEnd"/>
      <w:r w:rsidR="00457DDA" w:rsidRPr="00457DDA">
        <w:rPr>
          <w:sz w:val="26"/>
          <w:szCs w:val="26"/>
        </w:rPr>
        <w:t xml:space="preserve"> 30.08</w:t>
      </w:r>
      <w:r w:rsidRPr="00457DDA">
        <w:rPr>
          <w:sz w:val="26"/>
          <w:szCs w:val="26"/>
        </w:rPr>
        <w:t>.2022г.</w:t>
      </w:r>
      <w:r w:rsidRPr="006C4BDE">
        <w:rPr>
          <w:sz w:val="26"/>
          <w:szCs w:val="26"/>
        </w:rPr>
        <w:t xml:space="preserve">  </w:t>
      </w:r>
    </w:p>
    <w:p w:rsidR="00034D92" w:rsidRDefault="00034D92" w:rsidP="00034D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F72CC1" w:rsidRDefault="00F72CC1" w:rsidP="00B550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550CC" w:rsidRDefault="00350324" w:rsidP="00B550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Положение</w:t>
      </w:r>
      <w:r w:rsidR="00DC744C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</w:t>
      </w:r>
      <w:r w:rsidR="00B550CC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использовании</w:t>
      </w:r>
      <w:r w:rsidR="00DC744C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государственных</w:t>
      </w:r>
      <w:r w:rsidR="00DC744C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символов</w:t>
      </w:r>
      <w:r w:rsidR="00B550CC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B550CC" w:rsidRDefault="00350324" w:rsidP="00B550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proofErr w:type="gramStart"/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</w:t>
      </w:r>
      <w:proofErr w:type="gramEnd"/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B550CC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МАОУ СОШ №1</w:t>
      </w:r>
    </w:p>
    <w:p w:rsidR="00B550CC" w:rsidRPr="00B550CC" w:rsidRDefault="00B550CC" w:rsidP="00B550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</w:t>
      </w:r>
      <w:r w:rsidR="00B550CC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положения</w:t>
      </w:r>
    </w:p>
    <w:p w:rsidR="00034D92" w:rsidRPr="00034D92" w:rsidRDefault="00034D92" w:rsidP="00034D9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034D92">
        <w:rPr>
          <w:sz w:val="26"/>
          <w:szCs w:val="26"/>
          <w:lang w:val="ru-RU"/>
        </w:rPr>
        <w:t xml:space="preserve">Настоящее Положение </w:t>
      </w:r>
      <w:r w:rsidR="00951758">
        <w:rPr>
          <w:sz w:val="26"/>
          <w:szCs w:val="26"/>
          <w:lang w:val="ru-RU"/>
        </w:rPr>
        <w:t>разработано</w:t>
      </w:r>
      <w:r w:rsidRPr="00034D92">
        <w:rPr>
          <w:sz w:val="26"/>
          <w:szCs w:val="26"/>
          <w:lang w:val="ru-RU"/>
        </w:rPr>
        <w:t xml:space="preserve"> в</w:t>
      </w:r>
      <w:r w:rsidRPr="00034D92">
        <w:rPr>
          <w:spacing w:val="1"/>
          <w:sz w:val="26"/>
          <w:szCs w:val="26"/>
          <w:lang w:val="ru-RU"/>
        </w:rPr>
        <w:t xml:space="preserve"> </w:t>
      </w:r>
      <w:r w:rsidRPr="00034D92">
        <w:rPr>
          <w:sz w:val="26"/>
          <w:szCs w:val="26"/>
          <w:lang w:val="ru-RU"/>
        </w:rPr>
        <w:t xml:space="preserve">соответствии с: </w:t>
      </w:r>
    </w:p>
    <w:p w:rsidR="00034D92" w:rsidRPr="00034D92" w:rsidRDefault="00034D92" w:rsidP="00034D9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034D92">
        <w:rPr>
          <w:sz w:val="26"/>
          <w:szCs w:val="26"/>
          <w:lang w:val="ru-RU"/>
        </w:rPr>
        <w:t xml:space="preserve">- Письмом </w:t>
      </w:r>
      <w:proofErr w:type="spellStart"/>
      <w:r w:rsidRPr="00034D92">
        <w:rPr>
          <w:sz w:val="26"/>
          <w:szCs w:val="26"/>
          <w:lang w:val="ru-RU"/>
        </w:rPr>
        <w:t>Минпросвещения</w:t>
      </w:r>
      <w:proofErr w:type="spellEnd"/>
      <w:r w:rsidRPr="00034D92">
        <w:rPr>
          <w:sz w:val="26"/>
          <w:szCs w:val="26"/>
          <w:lang w:val="ru-RU"/>
        </w:rPr>
        <w:t xml:space="preserve"> России от 15.04.2022 </w:t>
      </w:r>
      <w:r w:rsidRPr="00034D92">
        <w:rPr>
          <w:sz w:val="26"/>
          <w:szCs w:val="26"/>
        </w:rPr>
        <w:t>N</w:t>
      </w:r>
      <w:r w:rsidRPr="00034D92">
        <w:rPr>
          <w:sz w:val="26"/>
          <w:szCs w:val="26"/>
          <w:lang w:val="ru-RU"/>
        </w:rPr>
        <w:t xml:space="preserve"> СК-295/06 «Об использовании государственных символов Российской Федерации» (вместе с «Методическими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оздоровления»), Письмо </w:t>
      </w:r>
      <w:proofErr w:type="spellStart"/>
      <w:r w:rsidRPr="00034D92">
        <w:rPr>
          <w:sz w:val="26"/>
          <w:szCs w:val="26"/>
          <w:lang w:val="ru-RU"/>
        </w:rPr>
        <w:t>Минпросвещения</w:t>
      </w:r>
      <w:proofErr w:type="spellEnd"/>
      <w:r w:rsidRPr="00034D92">
        <w:rPr>
          <w:sz w:val="26"/>
          <w:szCs w:val="26"/>
          <w:lang w:val="ru-RU"/>
        </w:rPr>
        <w:t xml:space="preserve"> России от 17.06.2022 </w:t>
      </w:r>
      <w:r w:rsidRPr="00034D92">
        <w:rPr>
          <w:sz w:val="26"/>
          <w:szCs w:val="26"/>
        </w:rPr>
        <w:t>N</w:t>
      </w:r>
      <w:r w:rsidRPr="00034D92">
        <w:rPr>
          <w:sz w:val="26"/>
          <w:szCs w:val="26"/>
          <w:lang w:val="ru-RU"/>
        </w:rPr>
        <w:t xml:space="preserve"> АБ-1611/06 «О направлении Стандарта церемониала» (вместе со «Стандартом Церемонии поднятия (спуска) Государственного флага Российской Федерации», утв. </w:t>
      </w:r>
      <w:proofErr w:type="spellStart"/>
      <w:r w:rsidRPr="00034D92">
        <w:rPr>
          <w:sz w:val="26"/>
          <w:szCs w:val="26"/>
          <w:lang w:val="ru-RU"/>
        </w:rPr>
        <w:t>Минпросвещения</w:t>
      </w:r>
      <w:proofErr w:type="spellEnd"/>
      <w:r w:rsidRPr="00034D92">
        <w:rPr>
          <w:sz w:val="26"/>
          <w:szCs w:val="26"/>
          <w:lang w:val="ru-RU"/>
        </w:rPr>
        <w:t xml:space="preserve"> России 06.06.2022);</w:t>
      </w:r>
    </w:p>
    <w:p w:rsidR="00034D92" w:rsidRPr="00034D92" w:rsidRDefault="00034D92" w:rsidP="00034D9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034D92">
        <w:rPr>
          <w:sz w:val="26"/>
          <w:szCs w:val="26"/>
          <w:lang w:val="ru-RU"/>
        </w:rPr>
        <w:t xml:space="preserve">Письмом </w:t>
      </w:r>
      <w:proofErr w:type="spellStart"/>
      <w:r w:rsidRPr="00034D92">
        <w:rPr>
          <w:sz w:val="26"/>
          <w:szCs w:val="26"/>
          <w:lang w:val="ru-RU"/>
        </w:rPr>
        <w:t>Минпросвещения</w:t>
      </w:r>
      <w:proofErr w:type="spellEnd"/>
      <w:r w:rsidRPr="00034D92">
        <w:rPr>
          <w:sz w:val="26"/>
          <w:szCs w:val="26"/>
          <w:lang w:val="ru-RU"/>
        </w:rPr>
        <w:t xml:space="preserve"> России от 17.06.2022 </w:t>
      </w:r>
      <w:r w:rsidRPr="00034D92">
        <w:rPr>
          <w:sz w:val="26"/>
          <w:szCs w:val="26"/>
        </w:rPr>
        <w:t>N</w:t>
      </w:r>
      <w:r w:rsidRPr="00034D92">
        <w:rPr>
          <w:sz w:val="26"/>
          <w:szCs w:val="26"/>
          <w:lang w:val="ru-RU"/>
        </w:rPr>
        <w:t xml:space="preserve"> АБ-1611/06</w:t>
      </w:r>
      <w:r w:rsidRPr="00034D92">
        <w:rPr>
          <w:sz w:val="26"/>
          <w:szCs w:val="26"/>
          <w:lang w:val="ru-RU"/>
        </w:rPr>
        <w:br/>
        <w:t>"О нап</w:t>
      </w:r>
      <w:r>
        <w:rPr>
          <w:sz w:val="26"/>
          <w:szCs w:val="26"/>
          <w:lang w:val="ru-RU"/>
        </w:rPr>
        <w:t xml:space="preserve">равлении Стандарта церемониала" </w:t>
      </w:r>
      <w:r w:rsidRPr="00034D92">
        <w:rPr>
          <w:sz w:val="26"/>
          <w:szCs w:val="26"/>
          <w:lang w:val="ru-RU"/>
        </w:rPr>
        <w:t xml:space="preserve">(вместе со "Стандартом Церемонии поднятия (спуска) Государственного флага Российской Федерации", утв. </w:t>
      </w:r>
      <w:proofErr w:type="spellStart"/>
      <w:r w:rsidRPr="00034D92">
        <w:rPr>
          <w:sz w:val="26"/>
          <w:szCs w:val="26"/>
          <w:lang w:val="ru-RU"/>
        </w:rPr>
        <w:t>Минпросвещения</w:t>
      </w:r>
      <w:proofErr w:type="spellEnd"/>
      <w:r w:rsidRPr="00034D92">
        <w:rPr>
          <w:sz w:val="26"/>
          <w:szCs w:val="26"/>
          <w:lang w:val="ru-RU"/>
        </w:rPr>
        <w:t xml:space="preserve"> России 06.06.2022)</w:t>
      </w:r>
    </w:p>
    <w:p w:rsidR="00034D92" w:rsidRDefault="00034D92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Положение</w:t>
      </w:r>
      <w:r w:rsidR="00B550CC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B550CC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использовании</w:t>
      </w:r>
      <w:r w:rsidR="00B550CC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B550CC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символов</w:t>
      </w:r>
      <w:r w:rsidR="00B550CC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B550CC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МАОУ СОШ №1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(далее–Положение) определяет</w:t>
      </w:r>
      <w:r w:rsidR="00B550CC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</w:t>
      </w:r>
      <w:r w:rsidR="00B550CC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 (установления, размещения) Государственного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 Государственного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 а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МАОУ СОШ №1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(далее–образовательная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организация).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Государственный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(далее–Флаг) является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официальным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символом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собой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прямоугольное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полотнище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трех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равновеликих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горизонтальных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полос: верхней–белого, средней–синего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нижней–красного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цвета. Отношение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ширины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034D9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длине 2:3.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конституционного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25.12.2000 № 1-ФКЗ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Федерации», 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надругательство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влекут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ответственность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Государственный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(далее–Герб) является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четырехугольный, 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закругленными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нижними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углами, заостренный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оконечности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красный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геральдический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золотым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двуглавым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орлом, поднявшим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верх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распущенные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крылья. Орел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увенчан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двумя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малыми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коронами и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ними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большой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короной, соединенными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лентой. 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лапе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орла–скипетр, 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левой–держава. На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груди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орла, 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щите, –</w:t>
      </w:r>
      <w:r w:rsidR="00DD13A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серебряный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всадник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синем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плаще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серебряном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коне, поражающий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серебряным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копьем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черного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опрокинутого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навзничь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попранного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конем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дракона.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Воспроизведение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геральдического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щита (в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главной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фигуры–двуглавого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орла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атрибутами), 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одноцветном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варианте.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конституционного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25.12.2000 № 2-ФКЗ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Федерации», 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надругательство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Государственным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влечет</w:t>
      </w:r>
      <w:proofErr w:type="gramEnd"/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ответственность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Государственный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(далее–Гимн) является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музыкально-поэтическое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произведение. Гимн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исполняться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оркестровом, хоровом, оркестрово-хоровом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вокальном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инструментальном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варианте. При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использоваться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звуко</w:t>
      </w:r>
      <w:proofErr w:type="spellEnd"/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- 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видеозаписи, 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теле- 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радиотрансляции.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исполняться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точном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музыкальной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редакцией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текстом, утвержденными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конституционным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25.12.2000 № 3-ФКЗ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Использование</w:t>
      </w:r>
      <w:r w:rsidR="00D7472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Флага</w:t>
      </w:r>
    </w:p>
    <w:p w:rsidR="00C535E8" w:rsidRPr="00B550CC" w:rsidRDefault="00D74725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2.1.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вывешивается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общеобразовательных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независимо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территориях.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 Флаг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 (установлен) во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торжественных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мероприятий. Флаг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поднимается (устанавливается) во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массовых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 (в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спортивных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физкультурно-оздоровительных), проводимых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организациями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независимо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 Каждая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учебная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начинается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торжественной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линейки, на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происходит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поднятие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прослушивание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Гимна. Конкретное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продолжительность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линейки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устанавливается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директора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D7472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организации.</w:t>
      </w:r>
    </w:p>
    <w:p w:rsidR="00C535E8" w:rsidRPr="00B550CC" w:rsidRDefault="00D74725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ведущего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Регламентом, изложенным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 1 к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Положению.</w:t>
      </w:r>
    </w:p>
    <w:p w:rsidR="00C535E8" w:rsidRPr="00B550CC" w:rsidRDefault="00B77423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назначает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знаменную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знаменосца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ассистентов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 проявивших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выдающиеся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успехи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сферах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 Флаг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поднимается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мачте (флагштоке). Мачта (флагшток) устанавливается, как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правило, вблизи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вместе, обеспечивающем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лучшую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видимость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 Полотнище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длину 1,4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ширину 0,9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 Спуск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группы, назначаемой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 при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обучающихся, которым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будет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поднять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следующей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недели. Спуск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Регламентом, изложенным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 1 к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Положению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конце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конце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часы, установленные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2.9. При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принимаются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меры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сушке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чистке.</w:t>
      </w:r>
    </w:p>
    <w:p w:rsidR="00C535E8" w:rsidRPr="00B550CC" w:rsidRDefault="00B77423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2.10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немедленно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заменен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запасным.</w:t>
      </w:r>
    </w:p>
    <w:p w:rsidR="00C535E8" w:rsidRPr="00B550CC" w:rsidRDefault="00B77423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2.11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торжественной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атмосферы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ритуал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выноса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четырех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человек: руководителя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ассистентов, 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Регламентом, изложенным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 2 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Положению. Персональный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заместитель.</w:t>
      </w:r>
    </w:p>
    <w:p w:rsidR="00C535E8" w:rsidRPr="00B550CC" w:rsidRDefault="003331A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траура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верхней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древка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крепится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черная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лента, длина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равна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длине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полотнища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Флага. Флаг, поднятый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мачте (флагштоке), приспускается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половины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высоты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мачты (флагштока).</w:t>
      </w:r>
    </w:p>
    <w:p w:rsidR="00C535E8" w:rsidRPr="00B550CC" w:rsidRDefault="003331A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2.13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одновременном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подъеме (размещении) 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РФ, муниципального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общественного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объединения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располагается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левой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стороны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другого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флага, если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стоять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лицом; при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одновременном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подъеме (размещении) нечетного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флагов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располагается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центре, 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подъеме (размещении) четного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флагов (но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двух) –левее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центра.</w:t>
      </w:r>
    </w:p>
    <w:p w:rsidR="00C535E8" w:rsidRPr="00B550CC" w:rsidRDefault="003331A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2.14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одновременном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подъеме (размещении) 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флагов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размер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РФ, муниципального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общественного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объединения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предприятия, учреждения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превышать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размер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Флага, 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высота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меньше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высоты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подъема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</w:t>
      </w:r>
      <w:r w:rsidR="00B774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флагов.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Использование</w:t>
      </w:r>
      <w:r w:rsidR="003331A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Гимна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Текст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помещениях (части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помещений), отведенных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экспозиции, посвященной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символике. Такие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 (части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помещений) должны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эстетично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оформлены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размещены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хозяйственно-бытовых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комнат, прохода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гардероба.</w:t>
      </w:r>
    </w:p>
    <w:p w:rsidR="00C535E8" w:rsidRPr="003331AE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Официальным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 когда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выполняет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свою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знаковую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функцию: обозначает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государство, государственное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присутствие, событие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общероссийской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важности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значения.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Официальными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случаями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случаи, описанные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Федеральном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конституционном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25.12.2000 № 3-ФКЗ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Федерации», 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церемониальных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ситуациях, 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массовых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мероприятиях, в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значимых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общественных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</w:rPr>
        <w:t xml:space="preserve">3.3. </w:t>
      </w:r>
      <w:proofErr w:type="spellStart"/>
      <w:r w:rsidRPr="00B550CC">
        <w:rPr>
          <w:rFonts w:ascii="Times New Roman" w:hAnsi="Times New Roman" w:cs="Times New Roman"/>
          <w:color w:val="000000"/>
          <w:sz w:val="26"/>
          <w:szCs w:val="26"/>
        </w:rPr>
        <w:t>Гимн</w:t>
      </w:r>
      <w:proofErr w:type="spellEnd"/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50CC">
        <w:rPr>
          <w:rFonts w:ascii="Times New Roman" w:hAnsi="Times New Roman" w:cs="Times New Roman"/>
          <w:color w:val="000000"/>
          <w:sz w:val="26"/>
          <w:szCs w:val="26"/>
        </w:rPr>
        <w:t>исполняется</w:t>
      </w:r>
      <w:proofErr w:type="spellEnd"/>
      <w:r w:rsidRPr="00B550C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535E8" w:rsidRPr="003331AE" w:rsidRDefault="003331AE" w:rsidP="003331AE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церемоний;</w:t>
      </w:r>
    </w:p>
    <w:p w:rsidR="00C535E8" w:rsidRPr="003331AE" w:rsidRDefault="003331AE" w:rsidP="003331AE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открытии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памятников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памятных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знаков, установленных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самоуправления;</w:t>
      </w:r>
    </w:p>
    <w:p w:rsidR="00C535E8" w:rsidRPr="003331AE" w:rsidRDefault="003331AE" w:rsidP="003331AE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открытии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закрытии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торжественных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собраний, посвященных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праздникам;</w:t>
      </w:r>
    </w:p>
    <w:p w:rsidR="00C535E8" w:rsidRPr="00B550CC" w:rsidRDefault="003331AE" w:rsidP="003331AE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МАОУ СОШ №1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–перед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уроком (занятием) 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нового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года, 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проводимых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торжественных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мероприятий, посвященных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праздникам.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исполняться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торжественных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При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присутствующие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выслушивают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стоя. Данное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распространяется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 неспособных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встать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испытывающих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затруднения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вставании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стоянии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вследствие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здоровья: пожилых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людей, инвалидов, больных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травмированных, 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детей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раннего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возраста.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При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мужчины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должны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находиться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уборов. Данное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ряд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исключений, основанных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традициях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граждан. Например, не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обнажают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головы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те, кто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специальный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головной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убор, ношение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вызвано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состоянием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здоровья.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обнажать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голову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исключительно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неблагоприятных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погодных, природных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условиях, когда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обнажение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головы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действительно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привести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потере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здоровья, травме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угрозу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жизни.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обнажать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голову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лицам, религиозные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убеждения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рассматривают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обнажение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головы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="003331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неуважения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 (или) унижения.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следует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тишину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сократить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передвижения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минимума. Гимн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следует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выслушать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молча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подпевая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исполнению.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3.7. Если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сопровождается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поднятием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Флага, присутствующие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поворачиваются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поднимаемому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Флагу.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словами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исполняется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весь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целиком (три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куплета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повторением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припева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куплета). 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исключительных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словами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только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куплета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припева.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исполняются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вступление, куплет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припев. Троекратное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куплетов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припевов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применяется.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 Использование</w:t>
      </w:r>
      <w:r w:rsidR="0088520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Герба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 Допускается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Герба, 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изображения, если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надругательством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Гербом.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 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помещениях (части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помещений), отведенных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экспозиции, посвященной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символике. Такие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должны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эстетично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оформлены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размещены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хозяйственно-бытовых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комнат, прохода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гардероба.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 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одновременном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 (геральдического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знака) субъекта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РФ, муниципального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общественного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объединения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предприятия, учреждения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располагается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левой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стороны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 (геральдического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нака), если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стоять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лицом; 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одновременном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нечетного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гербов (геральдических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знаков) Герб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располагается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центре, 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четного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гербов (но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двух) –левее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центра.</w:t>
      </w:r>
    </w:p>
    <w:p w:rsidR="00C535E8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 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одновременном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гербов (геральдических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знаков) размер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 (геральдического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знака) субъекта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РФ, муниципального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общественного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объединения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превышать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размер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Герба, при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</w:t>
      </w:r>
      <w:r w:rsidR="008852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ниже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гербов (геральдических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знаков).</w:t>
      </w: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535E8" w:rsidRDefault="00C535E8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Pr="00B550C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F2F0C" w:rsidRDefault="00350324" w:rsidP="008F2F0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Приложение 1 </w:t>
      </w:r>
    </w:p>
    <w:p w:rsidR="00C535E8" w:rsidRPr="00B550CC" w:rsidRDefault="00C535E8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535E8" w:rsidRPr="00B550CC" w:rsidRDefault="00C535E8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350324" w:rsidP="008F2F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Регламент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подъема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спуска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Государственного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флага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Российской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Федерации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C535E8" w:rsidRPr="00B550CC" w:rsidRDefault="00350324" w:rsidP="008F2F0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</w:t>
      </w:r>
      <w:proofErr w:type="gramEnd"/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F2F0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МАОУ СОШ №1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одъема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спуска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площадка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организацией, актовый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зал, спортивный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зал, холл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др. –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определяется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климатическими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широтными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условиями, конструктивными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особенностями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 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спецификой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организации. В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осенне-зимний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рекомендовано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помещении, в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весенне-летний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открытой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площадке.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 представители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совета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совета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родителей, представители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праздников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приглашенные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гости.</w:t>
      </w:r>
    </w:p>
    <w:p w:rsidR="00C535E8" w:rsidRPr="00B550CC" w:rsidRDefault="008F2F0C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(например, учащиеся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параллели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0324"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классов).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4. Учитель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</w:t>
      </w:r>
      <w:r w:rsidR="008F2F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классы (группы), не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принимающие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церемонии, 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группы, оглашает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календарь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памятных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общегосударственного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локального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неделю–на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уроке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церемонии. Рекомендуется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краткой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версии (куплет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припев) Гимна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одновременно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участниками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стойке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«Смирно».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5. 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церемониях, посвященных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праздникам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памятным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истории, по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торжественное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6. Церемонией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определенное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 (далее–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церемонии).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7. Построение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церемонию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конструктивных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особенностей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8. Для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знаменная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 (знаменосец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ассистенты). При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мачту (флагшток) назначается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четыре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ассистента, при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древке–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ассистента.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9. 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знаменную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входят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учащиеся, имеющие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учебные, спортивные, творческие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общественно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значимые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достижения. Также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включаться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родители (законные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представители) обучающихся.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10. Перед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началом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выноса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подъема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11. Руководитель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оглашает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участникам, кому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почему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нести (поднимать) Флаг.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12. 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«Внимание! Под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Федерации–смирно! Флаг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внести!».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13. Знаменная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выносит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Флаг. Образовательная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сопроводить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вынос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маршем. Важно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выдержать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«шаг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ногу»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группы.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14. Знаменная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останавливается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флагштока (при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древке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установки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флага), разворачивается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«направо»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встает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стойке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смирно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участникам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15. Руководитель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озвучивает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«Флаг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поднять» (если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поднимают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флагшток) или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«Флаг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установить» (если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устанавливают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особую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подставку).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16. Флаг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прикрепляется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мачте (флагштоку) 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быстро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поднимается. При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древке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особую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подставку. Древко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касаться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поверхности.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сопровождается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Гимна. При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присутствующие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стоят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стойке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смирно.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17. После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 (или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установки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особую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подставку) знаменная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встает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стойке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смирно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участникам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18. По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произносит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«вольно!».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19. Церемония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продолжиться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блоком. Например, может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оглашаться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календарь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памятных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общегосударственного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локального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неделю. 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торжественных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включать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художественных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тературных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произведений, выступления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приглашенных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гостей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т.д.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20. После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«налево»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последовательно, 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покидают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21. Церемония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спуска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конце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последнего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учебного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занятия (урока).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22. 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спуска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знаменная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группа, работники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организации. Также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 которым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будет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поднять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начале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следующей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23. Руководитель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команду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готовности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спуску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gramEnd"/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внимание! Флаг</w:t>
      </w:r>
      <w:r w:rsidR="009C42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спустить».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24. Знаменосец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приступает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медленному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спуску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выносу, если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древке).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25. Знаменная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выносит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маршем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«нога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ногу»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дежурному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доставки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хранения.</w:t>
      </w:r>
    </w:p>
    <w:p w:rsidR="00C535E8" w:rsidRPr="00B550CC" w:rsidRDefault="00C535E8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BCB" w:rsidRDefault="00272BCB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BCB" w:rsidRDefault="00272BCB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BCB" w:rsidRDefault="00272BCB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BCB" w:rsidRDefault="00272BCB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BCB" w:rsidRDefault="00272BCB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BCB" w:rsidRDefault="00272BCB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BCB" w:rsidRDefault="00272BCB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98245E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BCB" w:rsidRDefault="00272BCB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535E8" w:rsidRDefault="00350324" w:rsidP="00272BC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Приложение 2 </w:t>
      </w:r>
    </w:p>
    <w:p w:rsidR="00272BCB" w:rsidRPr="00B550CC" w:rsidRDefault="00272BCB" w:rsidP="00272BC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245E" w:rsidRDefault="00350324" w:rsidP="00272B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Регламент</w:t>
      </w:r>
      <w:r w:rsidR="00272B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вноса</w:t>
      </w:r>
      <w:r w:rsidR="00272B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</w:t>
      </w:r>
      <w:r w:rsidR="00272B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выноса</w:t>
      </w:r>
      <w:r w:rsidR="00272B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Государственного</w:t>
      </w:r>
      <w:r w:rsidR="00272B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флага</w:t>
      </w:r>
      <w:r w:rsidR="00272B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Российской</w:t>
      </w:r>
      <w:r w:rsidR="00272B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Федерации</w:t>
      </w:r>
    </w:p>
    <w:p w:rsidR="00C535E8" w:rsidRPr="00B550CC" w:rsidRDefault="00272BCB" w:rsidP="00272B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="00350324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</w:t>
      </w:r>
      <w:proofErr w:type="gramEnd"/>
      <w:r w:rsidR="00350324" w:rsidRPr="00B550C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МАОУ СОШ №1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1. Руководитель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группы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хранение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2. Знаменная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месту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3. Знаменная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выстраивается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колонны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человека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–каждый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держит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угол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флага. Руководитель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группы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держит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передний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правый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полотнища.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4. Перед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вносом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ведущий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объявляет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присутствующим: «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 РФ внести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».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5. Знаменная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так, чтобы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большей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присутствующих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выглядел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развернутым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расположением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горизонтальных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полос: верхней–белого, средней–синего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нижней–красного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цвета. Оркестр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исполняет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Гимн. В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исполняется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технических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воспроизведения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звукозаписи.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6. Знаменная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останавливается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присутствующими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так, чтобы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середине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присутствующими,</w:t>
      </w:r>
      <w:r w:rsidRPr="00B550C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директором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7. Знаменная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уносит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окончания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окончания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мероприятия, если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было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непродолжительным. В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последнем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началом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выноса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ведущий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объявляет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присутствующим: «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 РФ вынести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». Вынос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сопровождаться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исполнением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такового.</w:t>
      </w:r>
    </w:p>
    <w:p w:rsidR="00C535E8" w:rsidRPr="00B550CC" w:rsidRDefault="00350324" w:rsidP="00B55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8. После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окончания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церемонии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знаменной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группы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отдает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ответственному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хранение</w:t>
      </w:r>
      <w:r w:rsidR="00272B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50C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Флага.</w:t>
      </w:r>
    </w:p>
    <w:sectPr w:rsidR="00C535E8" w:rsidRPr="00B550CC" w:rsidSect="0098245E">
      <w:pgSz w:w="11907" w:h="16839"/>
      <w:pgMar w:top="709" w:right="850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6A6D"/>
    <w:rsid w:val="00034D92"/>
    <w:rsid w:val="000B1CAD"/>
    <w:rsid w:val="00272BCB"/>
    <w:rsid w:val="002D33B1"/>
    <w:rsid w:val="002D3591"/>
    <w:rsid w:val="003331AE"/>
    <w:rsid w:val="00350324"/>
    <w:rsid w:val="003514A0"/>
    <w:rsid w:val="00457DDA"/>
    <w:rsid w:val="004F7E17"/>
    <w:rsid w:val="005A05CE"/>
    <w:rsid w:val="00653AF6"/>
    <w:rsid w:val="007D19FF"/>
    <w:rsid w:val="0080510E"/>
    <w:rsid w:val="00843291"/>
    <w:rsid w:val="00885202"/>
    <w:rsid w:val="008A3DA1"/>
    <w:rsid w:val="008F2F0C"/>
    <w:rsid w:val="00951758"/>
    <w:rsid w:val="0098245E"/>
    <w:rsid w:val="009C42A0"/>
    <w:rsid w:val="00B550CC"/>
    <w:rsid w:val="00B73A5A"/>
    <w:rsid w:val="00B77423"/>
    <w:rsid w:val="00C535E8"/>
    <w:rsid w:val="00D74725"/>
    <w:rsid w:val="00DC744C"/>
    <w:rsid w:val="00DD13AB"/>
    <w:rsid w:val="00E438A1"/>
    <w:rsid w:val="00F01E19"/>
    <w:rsid w:val="00F7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CE084-3A8A-4AD1-9648-DB049C9C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B550CC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B550C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110</cp:lastModifiedBy>
  <cp:revision>17</cp:revision>
  <dcterms:created xsi:type="dcterms:W3CDTF">2022-08-23T19:25:00Z</dcterms:created>
  <dcterms:modified xsi:type="dcterms:W3CDTF">2023-06-03T09:32:00Z</dcterms:modified>
</cp:coreProperties>
</file>